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8"/>
        </w:rPr>
      </w:pPr>
      <w:r>
        <w:rPr>
          <w:sz w:val="28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4989" w:right="0" w:hanging="0"/>
        <w:jc w:val="left"/>
        <w:rPr/>
      </w:pPr>
      <w:r>
        <w:rPr>
          <w:rFonts w:cs="Times New Roman"/>
        </w:rPr>
        <w:t>Проект закона Камчатского края внесен Правительством Камчатского края</w:t>
      </w:r>
    </w:p>
    <w:p>
      <w:pPr>
        <w:pStyle w:val="Normal"/>
        <w:jc w:val="center"/>
        <w:rPr>
          <w:sz w:val="28"/>
        </w:rPr>
      </w:pPr>
      <w:r>
        <w:rPr>
          <w:sz w:val="28"/>
        </w:rPr>
      </w:r>
    </w:p>
    <w:p>
      <w:pPr>
        <w:pStyle w:val="Normal"/>
        <w:jc w:val="center"/>
        <w:rPr>
          <w:sz w:val="28"/>
        </w:rPr>
      </w:pPr>
      <w:r>
        <w:rPr/>
        <w:drawing>
          <wp:inline distT="0" distB="0" distL="0" distR="0">
            <wp:extent cx="647700" cy="809625"/>
            <wp:effectExtent l="0" t="0" r="0" b="0"/>
            <wp:docPr id="1" name="Pictur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jc w:val="center"/>
        <w:rPr>
          <w:sz w:val="28"/>
        </w:rPr>
      </w:pPr>
      <w:r>
        <w:rPr>
          <w:b/>
          <w:sz w:val="28"/>
        </w:rPr>
        <w:t>Закон</w:t>
      </w:r>
    </w:p>
    <w:p>
      <w:pPr>
        <w:pStyle w:val="Normal"/>
        <w:jc w:val="center"/>
        <w:rPr>
          <w:sz w:val="28"/>
        </w:rPr>
      </w:pPr>
      <w:r>
        <w:rPr>
          <w:b/>
          <w:sz w:val="28"/>
        </w:rPr>
        <w:t>Камчатского края</w:t>
      </w:r>
    </w:p>
    <w:p>
      <w:pPr>
        <w:pStyle w:val="Normal"/>
        <w:jc w:val="center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jc w:val="center"/>
        <w:rPr>
          <w:sz w:val="28"/>
        </w:rPr>
      </w:pPr>
      <w:r>
        <w:rPr>
          <w:b/>
          <w:sz w:val="28"/>
        </w:rPr>
        <w:t xml:space="preserve">Об отдельных вопросах правового регулирования в сфере международных и внешнеэкономических связей органов местного самоуправления </w:t>
      </w:r>
      <w:r>
        <w:rPr>
          <w:b/>
          <w:sz w:val="28"/>
        </w:rPr>
        <w:t xml:space="preserve">муниципальных образований </w:t>
      </w:r>
      <w:r>
        <w:rPr>
          <w:b/>
          <w:sz w:val="28"/>
        </w:rPr>
        <w:t>в Камчатском крае</w:t>
      </w:r>
    </w:p>
    <w:p>
      <w:pPr>
        <w:pStyle w:val="1"/>
        <w:tabs>
          <w:tab w:val="clear" w:pos="708"/>
          <w:tab w:val="left" w:pos="1620" w:leader="none"/>
        </w:tabs>
        <w:jc w:val="center"/>
        <w:rPr>
          <w:sz w:val="28"/>
        </w:rPr>
      </w:pPr>
      <w:r>
        <w:rPr>
          <w:sz w:val="28"/>
        </w:rPr>
      </w:r>
    </w:p>
    <w:p>
      <w:pPr>
        <w:pStyle w:val="Style25"/>
        <w:tabs>
          <w:tab w:val="clear" w:pos="708"/>
          <w:tab w:val="left" w:pos="1620" w:leader="none"/>
        </w:tabs>
        <w:spacing w:lineRule="auto" w:line="240" w:before="0" w:after="0"/>
        <w:jc w:val="center"/>
        <w:rPr>
          <w:rFonts w:ascii="Times New Roman" w:hAnsi="Times New Roman"/>
          <w:i/>
          <w:i/>
          <w:color w:val="000000"/>
          <w:sz w:val="24"/>
        </w:rPr>
      </w:pPr>
      <w:r>
        <w:rPr>
          <w:i/>
          <w:color w:val="000000"/>
          <w:sz w:val="24"/>
        </w:rPr>
        <w:t>Принят Законодательным Собранием Камчатского края</w:t>
      </w:r>
    </w:p>
    <w:p>
      <w:pPr>
        <w:pStyle w:val="Style25"/>
        <w:spacing w:lineRule="auto" w:line="240" w:before="0" w:after="0"/>
        <w:jc w:val="center"/>
        <w:rPr/>
      </w:pPr>
      <w:r>
        <w:rPr>
          <w:i/>
          <w:color w:val="000000"/>
          <w:sz w:val="24"/>
        </w:rPr>
        <w:t>"</w:t>
      </w:r>
      <w:r>
        <w:rPr>
          <w:color w:val="000000"/>
        </w:rPr>
        <w:t xml:space="preserve"> </w:t>
      </w:r>
      <w:r>
        <w:rPr>
          <w:i/>
          <w:color w:val="000000"/>
          <w:sz w:val="24"/>
        </w:rPr>
        <w:t>___"___________ 2023</w:t>
      </w:r>
      <w:r>
        <w:rPr>
          <w:color w:val="000000"/>
        </w:rPr>
        <w:t xml:space="preserve"> </w:t>
      </w:r>
      <w:r>
        <w:rPr>
          <w:i/>
          <w:color w:val="000000"/>
          <w:sz w:val="24"/>
        </w:rPr>
        <w:t>года</w:t>
      </w:r>
      <w:r>
        <w:rPr/>
        <w:t xml:space="preserve"> </w:t>
      </w:r>
    </w:p>
    <w:p>
      <w:pPr>
        <w:pStyle w:val="Normal"/>
        <w:tabs>
          <w:tab w:val="clear" w:pos="708"/>
          <w:tab w:val="left" w:pos="0" w:leader="none"/>
        </w:tabs>
        <w:jc w:val="both"/>
        <w:rPr>
          <w:sz w:val="28"/>
        </w:rPr>
      </w:pPr>
      <w:r>
        <w:rPr>
          <w:sz w:val="28"/>
        </w:rPr>
      </w:r>
    </w:p>
    <w:p>
      <w:pPr>
        <w:pStyle w:val="Normal"/>
        <w:tabs>
          <w:tab w:val="clear" w:pos="708"/>
          <w:tab w:val="left" w:pos="0" w:leader="none"/>
        </w:tabs>
        <w:ind w:left="0" w:right="0" w:firstLine="709"/>
        <w:jc w:val="both"/>
        <w:rPr>
          <w:sz w:val="28"/>
        </w:rPr>
      </w:pPr>
      <w:r>
        <w:rPr>
          <w:b w:val="false"/>
          <w:sz w:val="28"/>
        </w:rPr>
        <w:t xml:space="preserve">Статья 1. </w:t>
      </w:r>
      <w:r>
        <w:rPr>
          <w:b/>
          <w:sz w:val="28"/>
        </w:rPr>
        <w:t>Предмет регулирования настоящего Закона</w:t>
      </w:r>
      <w:r>
        <w:rPr>
          <w:sz w:val="28"/>
        </w:rPr>
        <w:t xml:space="preserve"> </w:t>
      </w:r>
    </w:p>
    <w:p>
      <w:pPr>
        <w:pStyle w:val="Normal"/>
        <w:tabs>
          <w:tab w:val="clear" w:pos="708"/>
          <w:tab w:val="left" w:pos="0" w:leader="none"/>
        </w:tabs>
        <w:ind w:left="0" w:right="0" w:firstLine="709"/>
        <w:jc w:val="both"/>
        <w:rPr>
          <w:sz w:val="28"/>
        </w:rPr>
      </w:pPr>
      <w:r>
        <w:rPr>
          <w:sz w:val="28"/>
        </w:rPr>
        <w:t xml:space="preserve">Настоящий Закон разработан в соответствии с Федеральным законом от 04.08.2023 № 420-ФЗ «О внесении изменений в Федеральный закон «Об общих принципах организации местного самоуправления в Российской Федерации» и статью 44 Федерального закона «Об общих принципах организации публичной власти в субъектах Российской Федерации» (далее – Федеральный закон)  и определяет полномочия исполнительных органов Камчатского края и органов местного самоуправления </w:t>
      </w:r>
      <w:r>
        <w:rPr>
          <w:sz w:val="28"/>
        </w:rPr>
        <w:t xml:space="preserve">муниципальных образований </w:t>
      </w:r>
      <w:r>
        <w:rPr>
          <w:sz w:val="28"/>
        </w:rPr>
        <w:t xml:space="preserve">в Камчатском крае (далее – органов местного самоуправления) в сфере международных и внешнеэкономических связей. 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sz w:val="28"/>
        </w:rPr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b w:val="false"/>
          <w:sz w:val="28"/>
        </w:rPr>
        <w:t xml:space="preserve">Статья 2. </w:t>
      </w:r>
      <w:r>
        <w:rPr>
          <w:b/>
          <w:sz w:val="28"/>
        </w:rPr>
        <w:t xml:space="preserve">Полномочия Правительства Камчатского края в сфере международных и внешнеэкономических связей органов местного самоуправления 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sz w:val="28"/>
        </w:rPr>
        <w:t xml:space="preserve">К полномочиям Правительства Камчатского края в сфере международных и внешнеэкономических связей органов местного самоуправления относятся: 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sz w:val="28"/>
        </w:rPr>
        <w:t>1) правовое регулирование осуществления органами местного самоуправления международных и внешнеэкономических связей;</w:t>
      </w:r>
    </w:p>
    <w:p>
      <w:pPr>
        <w:sectPr>
          <w:type w:val="nextPage"/>
          <w:pgSz w:w="11906" w:h="16838"/>
          <w:pgMar w:left="1418" w:right="1255" w:gutter="0" w:header="0" w:top="1418" w:footer="0" w:bottom="1418"/>
          <w:pgNumType w:fmt="decimal"/>
          <w:formProt w:val="false"/>
          <w:textDirection w:val="lrTb"/>
          <w:docGrid w:type="default" w:linePitch="100" w:charSpace="0"/>
        </w:sectPr>
        <w:pStyle w:val="Normal"/>
        <w:ind w:left="0" w:right="0" w:firstLine="709"/>
        <w:jc w:val="both"/>
        <w:rPr>
          <w:sz w:val="28"/>
        </w:rPr>
      </w:pPr>
      <w:r>
        <w:rPr>
          <w:sz w:val="28"/>
        </w:rPr>
        <w:t>2) предоставление органам местного самоуправления правовой, организационной и методической поддержки при осуществлении ими международных и внешнеэкономических связей;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sz w:val="28"/>
        </w:rPr>
        <w:t>3) определение уполномоченного исполнительного органа Камчатского края в сфере международных и внешнеэкономических связей органов местного самоуправления (далее – уполномоченный орган);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sz w:val="28"/>
        </w:rPr>
        <w:t>4) согласование проектов соглашений об осуществлении органами местного самоуправления международных и внешнеэкономических связей с органами местного самоуправления иностранных государств;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sz w:val="28"/>
        </w:rPr>
        <w:t xml:space="preserve">5) утверждение порядка формирования перечня соглашений о международных и внешнеэкономических связях; 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sz w:val="28"/>
        </w:rPr>
        <w:t>6) информирование ежегодно до 1 февраля федерального органа исполнительной власти, уполномоченного на осуществление функций по выработке и реализации государственной политики и нормативно-правовому регулированию в сфере международных и внешнеэкономических связей органов местного самоуправления, в установленном указанным федеральным органом исполнительной власти порядке об осуществлении международных и внешнеэкономических связей органов местного самоуправления и о результатах осуществления таких связей в предыдущем году;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sz w:val="28"/>
        </w:rPr>
        <w:t>7) формирование перечня соглашений об осуществлении органами местного самоуправления международных и внешнеэкономических связей, в том числе соглашений, утративших силу, на основе перечня, сформированного муниципальными образованиями;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sz w:val="28"/>
        </w:rPr>
        <w:t>8) предоставление ежегодно до 1 февраля в федеральный орган исполнительной власти, уполномоченный на осуществление функций по выработке и реализации государственной политики и нормативно-правовому регулированию в сфере международных и внешнеэкономических связей органов местного самоуправления, перечня соглашений о международных и внешнеэкономических связях муниципальных образований, в том числе соглашений, утративших силу;</w:t>
      </w:r>
    </w:p>
    <w:p>
      <w:pPr>
        <w:pStyle w:val="Normal"/>
        <w:widowControl/>
        <w:spacing w:before="0" w:after="0"/>
        <w:ind w:left="0" w:right="0" w:firstLine="680"/>
        <w:jc w:val="both"/>
        <w:rPr>
          <w:sz w:val="28"/>
        </w:rPr>
      </w:pPr>
      <w:r>
        <w:rPr>
          <w:sz w:val="28"/>
        </w:rPr>
        <w:t>9) иные полномочия в сфере международных и внешнеэкономических связей муниципальных образований в соответствии с международными договорами Российской Федерации, федеральными законами, иными нормативными правовыми актами Российской Федерации и законодательством Камчатского края.</w:t>
      </w:r>
    </w:p>
    <w:p>
      <w:pPr>
        <w:pStyle w:val="Normal"/>
        <w:ind w:left="0" w:right="0" w:hanging="0"/>
        <w:jc w:val="both"/>
        <w:rPr>
          <w:sz w:val="28"/>
        </w:rPr>
      </w:pPr>
      <w:r>
        <w:rPr>
          <w:sz w:val="28"/>
        </w:rPr>
      </w:r>
    </w:p>
    <w:p>
      <w:pPr>
        <w:pStyle w:val="Normal"/>
        <w:ind w:left="0" w:right="0" w:hanging="0"/>
        <w:jc w:val="both"/>
        <w:rPr>
          <w:sz w:val="28"/>
        </w:rPr>
      </w:pPr>
      <w:r>
        <w:rPr>
          <w:sz w:val="28"/>
        </w:rPr>
        <w:tab/>
        <w:t xml:space="preserve">Статья 3. </w:t>
      </w:r>
      <w:r>
        <w:rPr>
          <w:b/>
          <w:sz w:val="28"/>
        </w:rPr>
        <w:t xml:space="preserve">Полномочия уполномоченного органа  </w:t>
      </w:r>
    </w:p>
    <w:p>
      <w:pPr>
        <w:pStyle w:val="Normal"/>
        <w:ind w:left="0" w:right="0" w:hanging="0"/>
        <w:jc w:val="both"/>
        <w:rPr>
          <w:sz w:val="28"/>
        </w:rPr>
      </w:pPr>
      <w:r>
        <w:rPr>
          <w:sz w:val="28"/>
        </w:rPr>
        <w:tab/>
        <w:t xml:space="preserve">К полномочиям уполномоченного органа относятся: </w:t>
      </w:r>
    </w:p>
    <w:p>
      <w:pPr>
        <w:pStyle w:val="Normal"/>
        <w:widowControl/>
        <w:spacing w:before="0" w:after="0"/>
        <w:ind w:left="0" w:right="0" w:firstLine="737"/>
        <w:jc w:val="both"/>
        <w:rPr>
          <w:sz w:val="28"/>
        </w:rPr>
      </w:pPr>
      <w:r>
        <w:rPr>
          <w:sz w:val="28"/>
        </w:rPr>
        <w:t>1</w:t>
      </w:r>
      <w:r>
        <w:rPr>
          <w:b w:val="false"/>
          <w:sz w:val="28"/>
        </w:rPr>
        <w:t>) оказание содействия и координация осуществления органами местного самоуправления международных и внешнеэкономических связей;</w:t>
      </w:r>
    </w:p>
    <w:p>
      <w:pPr>
        <w:pStyle w:val="Normal"/>
        <w:widowControl/>
        <w:spacing w:before="0" w:after="0"/>
        <w:ind w:left="0" w:right="0" w:firstLine="737"/>
        <w:jc w:val="both"/>
        <w:rPr>
          <w:sz w:val="28"/>
        </w:rPr>
      </w:pPr>
      <w:r>
        <w:rPr>
          <w:b w:val="false"/>
          <w:sz w:val="28"/>
        </w:rPr>
        <w:t>2) определение порядка осуществления органами местного самоуправления международных и внешнеэкономических связей;</w:t>
      </w:r>
    </w:p>
    <w:p>
      <w:pPr>
        <w:pStyle w:val="Normal"/>
        <w:widowControl/>
        <w:spacing w:before="0" w:after="0"/>
        <w:ind w:left="0" w:right="0" w:firstLine="737"/>
        <w:jc w:val="both"/>
        <w:rPr>
          <w:sz w:val="28"/>
        </w:rPr>
      </w:pPr>
      <w:r>
        <w:rPr>
          <w:b w:val="false"/>
          <w:sz w:val="28"/>
        </w:rPr>
        <w:t>3) определение порядка ежегодного информирования главой муниципального образования уполномоченного органа об осуществлении международных и внешнеэкономических связей данного муниципального образования и о результатах осуществления таких связей;</w:t>
      </w:r>
    </w:p>
    <w:p>
      <w:pPr>
        <w:pStyle w:val="Normal"/>
        <w:widowControl/>
        <w:spacing w:before="0" w:after="0"/>
        <w:ind w:left="0" w:right="0" w:firstLine="737"/>
        <w:jc w:val="both"/>
        <w:rPr>
          <w:sz w:val="28"/>
        </w:rPr>
      </w:pPr>
      <w:r>
        <w:rPr>
          <w:b w:val="false"/>
          <w:sz w:val="28"/>
        </w:rPr>
        <w:t>4) ежегодное получение от органов местного самоуправления информации об осуществлении международных и внешнеэкономических связей органов местного самоуправления и о результатах осуществления таких связей;</w:t>
      </w:r>
    </w:p>
    <w:p>
      <w:pPr>
        <w:pStyle w:val="Normal"/>
        <w:widowControl/>
        <w:spacing w:before="0" w:after="0"/>
        <w:ind w:left="0" w:right="0" w:firstLine="737"/>
        <w:jc w:val="both"/>
        <w:rPr>
          <w:sz w:val="28"/>
        </w:rPr>
      </w:pPr>
      <w:r>
        <w:rPr>
          <w:b w:val="false"/>
          <w:sz w:val="28"/>
        </w:rPr>
        <w:t>5) ежегодное получение перечней соглашений об осуществлении международных и внешнеэкономических связей органов местного самоуправления от Глав муниципальных образований;</w:t>
      </w:r>
    </w:p>
    <w:p>
      <w:pPr>
        <w:pStyle w:val="Normal"/>
        <w:widowControl/>
        <w:spacing w:before="0" w:after="0"/>
        <w:ind w:left="0" w:right="0" w:firstLine="737"/>
        <w:jc w:val="both"/>
        <w:rPr>
          <w:sz w:val="28"/>
        </w:rPr>
      </w:pPr>
      <w:r>
        <w:rPr>
          <w:sz w:val="28"/>
        </w:rPr>
        <w:t xml:space="preserve">6) направление перечней соглашений пункта 6 настоящей статьи в Правительство Камчатского края; </w:t>
      </w:r>
    </w:p>
    <w:p>
      <w:pPr>
        <w:pStyle w:val="Normal"/>
        <w:widowControl/>
        <w:spacing w:before="0" w:after="0"/>
        <w:ind w:left="0" w:right="0" w:firstLine="737"/>
        <w:jc w:val="both"/>
        <w:rPr>
          <w:sz w:val="28"/>
        </w:rPr>
      </w:pPr>
      <w:r>
        <w:rPr>
          <w:b w:val="false"/>
          <w:sz w:val="28"/>
        </w:rPr>
        <w:t>7) регистрация соглашений о международных и внешнеэкономических связях муниципальных образований в порядке, установленном статьей 6 настоящего Закона;</w:t>
      </w:r>
    </w:p>
    <w:p>
      <w:pPr>
        <w:pStyle w:val="Normal"/>
        <w:widowControl/>
        <w:spacing w:before="0" w:after="0"/>
        <w:ind w:left="0" w:right="0" w:firstLine="737"/>
        <w:jc w:val="both"/>
        <w:rPr>
          <w:sz w:val="28"/>
        </w:rPr>
      </w:pPr>
      <w:r>
        <w:rPr>
          <w:b w:val="false"/>
          <w:sz w:val="28"/>
        </w:rPr>
        <w:t>8) иные полномочия в сфере международных и внешнеэкономических связей муниципальных образований в соответствии с международными договорами Российской Федерации, федеральными законами, иными нормативными правовыми актами Российской Федерации и законодательством Камчатского края.</w:t>
      </w:r>
    </w:p>
    <w:p>
      <w:pPr>
        <w:pStyle w:val="Normal"/>
        <w:widowControl/>
        <w:spacing w:before="0" w:after="0"/>
        <w:ind w:left="0" w:right="0" w:firstLine="737"/>
        <w:jc w:val="both"/>
        <w:rPr>
          <w:b w:val="false"/>
        </w:rPr>
      </w:pPr>
      <w:r>
        <w:rPr>
          <w:b w:val="false"/>
        </w:rPr>
      </w:r>
    </w:p>
    <w:p>
      <w:pPr>
        <w:pStyle w:val="Normal"/>
        <w:widowControl/>
        <w:spacing w:before="0" w:after="0"/>
        <w:ind w:left="0" w:right="0" w:firstLine="737"/>
        <w:jc w:val="both"/>
        <w:rPr>
          <w:sz w:val="28"/>
        </w:rPr>
      </w:pPr>
      <w:r>
        <w:rPr>
          <w:b w:val="false"/>
          <w:sz w:val="28"/>
        </w:rPr>
        <w:t xml:space="preserve">Статья 4. </w:t>
      </w:r>
      <w:r>
        <w:rPr>
          <w:b/>
          <w:sz w:val="28"/>
        </w:rPr>
        <w:t>Полномочия органов местного самоуправления в сфере международных и внешнеэкономических связей</w:t>
      </w:r>
      <w:r>
        <w:rPr>
          <w:b w:val="false"/>
          <w:sz w:val="28"/>
        </w:rPr>
        <w:t xml:space="preserve"> 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b w:val="false"/>
          <w:sz w:val="28"/>
        </w:rPr>
        <w:t>1. Международные и внешнеэкономические связи осуществляются органами местного самоуправления в целях решения вопросов местного значения по согласованию с Правительством Камчатского края/уполномоченным органом в порядке, установленном статьей 5 настоящего Закона.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b w:val="false"/>
          <w:sz w:val="28"/>
        </w:rPr>
        <w:t>2. К полномочиям органов местного самоуправления в сфере международных и внешнеэкономических связей относятся: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b w:val="false"/>
          <w:sz w:val="28"/>
        </w:rPr>
        <w:t>1) проведение встреч, консультаций и иных мероприятий в сфере международных и внешнеэкономических связей с представителями государственно-территориальных, административно-территориальных и муниципальных образований иностранных государств;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b w:val="false"/>
          <w:sz w:val="28"/>
        </w:rPr>
        <w:t>2) заключение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 (далее – соглашение, соглашения);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b w:val="false"/>
          <w:sz w:val="28"/>
        </w:rPr>
        <w:t>3) участие в деятельности международных организаций в сфере межмуниципального сотрудничества в рамках полномочий органов, созданных специально для этой цели;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b w:val="false"/>
          <w:sz w:val="28"/>
        </w:rPr>
        <w:t>4) участие в разработке и реализации проектов международных программ межмуниципального сотрудничества;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b w:val="false"/>
          <w:sz w:val="28"/>
        </w:rPr>
        <w:t>5) иные полномочия в сфере международных и внешнеэкономических связей муниципального образования в соответствии с международными договорами Российской Федерации, федеральными законами, иными нормативными правовыми актами Российской Федерации и законодательством Камчатского края.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b w:val="false"/>
          <w:sz w:val="28"/>
        </w:rPr>
        <w:t>3. Главы муниципальных образований ежегодно до 15 января информируют уполномоченный орган в установленном указанным органом порядке об осуществлении международных и внешнеэкономических связей органов местного самоуправления и о результатах осуществления таких связей в предыдущем году.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b w:val="false"/>
          <w:sz w:val="28"/>
        </w:rPr>
        <w:t>4. Муниципальные образования формируют перечни соглашений о международных и внешнеэкономических связях муниципальных образований, в том числе соглашений, утративших силу, в порядке, определенном Правительством Камчатского края.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b w:val="false"/>
          <w:sz w:val="28"/>
        </w:rPr>
        <w:t>5. Главы муниципальных образований ежегодно до 15 января направляют в уполномоченный орган перечни соглашений об осуществлении международных и внешнеэкономических связей органов местного самоуправления муниципальных образований, включая в него соглашения, заключенные и утратившие силу в предыдущем году.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b w:val="false"/>
          <w:sz w:val="28"/>
        </w:rPr>
        <w:t xml:space="preserve">В случае если такой </w:t>
      </w:r>
      <w:r>
        <w:rPr>
          <w:sz w:val="28"/>
        </w:rPr>
        <w:t xml:space="preserve">перечень направляется впервые, в него включаются все соглашения об осуществлении международных и внешнеэкономических связей органов местного самоуправления муниципальных образований, в том числе соглашения, утратившие силу. 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sz w:val="28"/>
        </w:rPr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sz w:val="28"/>
        </w:rPr>
        <w:t xml:space="preserve">Статья 5. </w:t>
      </w:r>
      <w:r>
        <w:rPr>
          <w:b/>
          <w:sz w:val="28"/>
        </w:rPr>
        <w:t xml:space="preserve">Порядок согласования осуществления органами местного самоуправления международных и внешнеэкономических связей 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sz w:val="28"/>
        </w:rPr>
        <w:t>1. Решения о проведении органами местного самоуправления переговоров, протокольных и рабочих мероприятий, встреч, консультаций и иных мероприятий в рамках двустороннего, многостороннего взаимодействия, а также взаимодействия в рамках реализации совместных программ и проектов с представителями органов местного самоуправления иностранных государств (далее – международное мероприятие) принимаются руководителями органов местного самоуправления по согласованию с уполномоченным органом.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sz w:val="28"/>
        </w:rPr>
        <w:t>2. Обращения глав муниципальных образований с просьбой согласовать проведение международного мероприятия направляются в уполномоченного органа, не позднее, чем за 15 дней до предполагаемой даты проведения международного мероприятия.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sz w:val="28"/>
        </w:rPr>
        <w:t>В течение 3 (трех) рабочих дней обращение рассматривается и согласовывается уполномоченным органом, если отсутствуют замечания, или не согласовывается, если имеются замечания.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sz w:val="28"/>
        </w:rPr>
        <w:t>Отказ в согласовании проведения органами местного самоуправления края международного мероприятия должен быть мотивирован и содержать (при наличии) предложения по способу устранения замечаний.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sz w:val="28"/>
        </w:rPr>
        <w:t>Основанием для отказа может быть несоблюдение норм международных договоров, федерального и регионального законодательства, регламентирующего осуществление органами местного самоуправления международных и внешнеэкономических связей, рекомендаций МИД России.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sz w:val="28"/>
        </w:rPr>
        <w:t>3. После устранения замечаний обращение с просьбой согласовать проведение международного мероприятия повторно направляется в адрес уполномоченного органа для согласования.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sz w:val="28"/>
        </w:rPr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sz w:val="28"/>
        </w:rPr>
        <w:t xml:space="preserve">Статья 6. </w:t>
      </w:r>
      <w:r>
        <w:rPr>
          <w:b/>
          <w:sz w:val="28"/>
        </w:rPr>
        <w:t>Порядок согласования и регистрации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sz w:val="28"/>
        </w:rPr>
        <w:t>1. Решения о заключении соглашений органов местного самоуправления с органами местного самоуправления иностранных государств принимаются руководителями органов местного самоуправления по согласованию с уполномоченным органом в следующем порядке: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sz w:val="28"/>
        </w:rPr>
        <w:t>1) до заключения соглашения его проект представляется соответствующим органом местного самоуправления в Правительство Камчатского края;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sz w:val="28"/>
        </w:rPr>
        <w:t>2) в течение 30 дней со дня поступления проекта соглашения Правительство Камчатского края рассматривает проект соглашения и официальным письмом информирует орган местного самоуправления о результатах рассмотрения проекта соглашения;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sz w:val="28"/>
        </w:rPr>
        <w:t>3) в случае возникновения разногласий между Правительством Камчатского края и органами местного самоуправления муниципальных образований в отношении проекта соглашения применяются согласительные процедуры;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sz w:val="28"/>
        </w:rPr>
        <w:t>5) в случае внесения изменений в проект соглашения после согласования Правительством Камчатского края проект соглашения подлежит повторному рассмотрению в порядке, предусмотренном настоящей статьей;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sz w:val="28"/>
        </w:rPr>
        <w:t>6) регистрации подлежат соглашения об осуществлении международных и внешнеэкономических связей, заключенные органами местного самоуправления муниципальных образований с органами местного самоуправления иностранных государств;</w:t>
      </w:r>
    </w:p>
    <w:p>
      <w:pPr>
        <w:pStyle w:val="Normal"/>
        <w:ind w:left="0" w:right="0" w:firstLine="709"/>
        <w:jc w:val="both"/>
        <w:rPr>
          <w:sz w:val="28"/>
          <w:shd w:fill="FFE779" w:val="clear"/>
        </w:rPr>
      </w:pPr>
      <w:r>
        <w:rPr>
          <w:sz w:val="28"/>
        </w:rPr>
        <w:t>7) регистрация соглашений осуществляется уполномоченным органом;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sz w:val="28"/>
        </w:rPr>
        <w:t>8) к соглашению прилагаются заверенные руководителем органа местного самоуправления муниципального образования либо его заместителем копии подписанного соглашения, а также проекта соглашения с согласовательным заключением Правительства Камчатского края;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sz w:val="28"/>
        </w:rPr>
        <w:t>10) регистрация осуществляется в течение 10 рабочих дней с даты получения соглашения путем присвоения соглашению номера с указанием даты в порядке, определенном уполномоченным органом;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sz w:val="28"/>
        </w:rPr>
        <w:t xml:space="preserve">11) в течение 5 рабочих дней после регистрации соглашения его подлинник с присвоенным ему регистрационным номером направляется уполномоченным органом на хранение в орган местного самоуправления муниципального образований, представивший соглашение на регистрацию. </w:t>
      </w:r>
    </w:p>
    <w:p>
      <w:pPr>
        <w:pStyle w:val="Normal"/>
        <w:ind w:left="0" w:right="0" w:firstLine="709"/>
        <w:jc w:val="both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b w:val="false"/>
          <w:sz w:val="28"/>
        </w:rPr>
        <w:t>Статья 7.</w:t>
      </w:r>
      <w:r>
        <w:rPr>
          <w:b/>
          <w:sz w:val="28"/>
        </w:rPr>
        <w:t xml:space="preserve"> Заключительные положения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sz w:val="28"/>
        </w:rPr>
        <w:t>Настоящий Закон вступает в силу со дня его официального опубликования.</w:t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sz w:val="28"/>
        </w:rPr>
      </w:r>
    </w:p>
    <w:p>
      <w:pPr>
        <w:pStyle w:val="Normal"/>
        <w:ind w:left="0" w:right="0" w:firstLine="709"/>
        <w:jc w:val="both"/>
        <w:rPr>
          <w:sz w:val="28"/>
        </w:rPr>
      </w:pPr>
      <w:r>
        <w:rPr>
          <w:sz w:val="28"/>
        </w:rPr>
      </w:r>
    </w:p>
    <w:p>
      <w:pPr>
        <w:pStyle w:val="Normal"/>
        <w:jc w:val="both"/>
        <w:rPr>
          <w:sz w:val="28"/>
        </w:rPr>
      </w:pPr>
      <w:r>
        <w:rPr>
          <w:sz w:val="28"/>
        </w:rPr>
        <w:t>Губернатор Камчатского края                                                       В.В. Солодов</w:t>
      </w:r>
    </w:p>
    <w:p>
      <w:pPr>
        <w:pStyle w:val="Normal"/>
        <w:jc w:val="both"/>
        <w:rPr>
          <w:sz w:val="28"/>
        </w:rPr>
      </w:pPr>
      <w:r>
        <w:rPr>
          <w:sz w:val="28"/>
        </w:rPr>
      </w:r>
      <w:bookmarkStart w:id="0" w:name="_GoBack"/>
      <w:bookmarkStart w:id="1" w:name="_GoBack"/>
      <w:bookmarkEnd w:id="1"/>
    </w:p>
    <w:p>
      <w:pPr>
        <w:pStyle w:val="Normal"/>
        <w:rPr>
          <w:sz w:val="28"/>
        </w:rPr>
      </w:pPr>
      <w:r>
        <w:rPr/>
      </w:r>
    </w:p>
    <w:sectPr>
      <w:headerReference w:type="default" r:id="rId3"/>
      <w:footerReference w:type="default" r:id="rId4"/>
      <w:type w:val="nextPage"/>
      <w:pgSz w:w="11906" w:h="16838"/>
      <w:pgMar w:left="1418" w:right="1416" w:gutter="0" w:header="709" w:top="1418" w:footer="709" w:bottom="1418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XO Thames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  <w:font w:name="Arial">
    <w:charset w:val="cc"/>
    <w:family w:val="roman"/>
    <w:pitch w:val="variable"/>
  </w:font>
  <w:font w:name="Verdana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jc w:val="center"/>
      <w:rPr/>
    </w:pPr>
    <w:r>
      <w:rPr/>
    </w:r>
  </w:p>
  <w:p>
    <w:pPr>
      <w:pStyle w:val="Style34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8"/>
      <w:jc w:val="cent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1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835" cy="173990"/>
              <wp:effectExtent l="0" t="0" r="0" b="0"/>
              <wp:wrapSquare wrapText="bothSides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rPr/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6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223.75pt;margin-top:0.05pt;width:6pt;height:13.6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Normal"/>
                      <w:rPr/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6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  <w:p>
    <w:pPr>
      <w:pStyle w:val="Style38"/>
      <w:rPr/>
    </w:pPr>
    <w:r>
      <w:rPr/>
    </w:r>
  </w:p>
</w:hdr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Lucida Sans"/>
        <w:color w:val="000000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4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NSimSun" w:cs="Lucida Sans"/>
      <w:color w:val="000000"/>
      <w:spacing w:val="0"/>
      <w:kern w:val="0"/>
      <w:sz w:val="24"/>
      <w:szCs w:val="20"/>
      <w:lang w:val="ru-RU" w:eastAsia="zh-CN" w:bidi="hi-IN"/>
    </w:rPr>
  </w:style>
  <w:style w:type="paragraph" w:styleId="1">
    <w:name w:val="Heading 1"/>
    <w:basedOn w:val="Normal"/>
    <w:next w:val="Normal"/>
    <w:uiPriority w:val="9"/>
    <w:qFormat/>
    <w:pPr>
      <w:keepNext w:val="true"/>
      <w:ind w:left="9360" w:right="0" w:hanging="0"/>
      <w:outlineLvl w:val="0"/>
    </w:pPr>
    <w:rPr>
      <w:sz w:val="28"/>
    </w:rPr>
  </w:style>
  <w:style w:type="paragraph" w:styleId="2">
    <w:name w:val="Heading 2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left="0" w:right="0" w:hanging="0"/>
      <w:jc w:val="both"/>
      <w:outlineLvl w:val="1"/>
    </w:pPr>
    <w:rPr>
      <w:rFonts w:ascii="XO Thames" w:hAnsi="XO Thames" w:eastAsia="NSimSun" w:cs="Lucida Sans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3">
    <w:name w:val="Heading 3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left="0" w:right="0" w:hanging="0"/>
      <w:jc w:val="both"/>
      <w:outlineLvl w:val="2"/>
    </w:pPr>
    <w:rPr>
      <w:rFonts w:ascii="XO Thames" w:hAnsi="XO Thames" w:eastAsia="NSimSun" w:cs="Lucida Sans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4">
    <w:name w:val="Heading 4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left="0" w:right="0" w:hanging="0"/>
      <w:jc w:val="both"/>
      <w:outlineLvl w:val="3"/>
    </w:pPr>
    <w:rPr>
      <w:rFonts w:ascii="XO Thames" w:hAnsi="XO Thames" w:eastAsia="NSimSun" w:cs="Lucida Sans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5">
    <w:name w:val="Heading 5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left="0" w:right="0" w:hanging="0"/>
      <w:jc w:val="both"/>
      <w:outlineLvl w:val="4"/>
    </w:pPr>
    <w:rPr>
      <w:rFonts w:ascii="XO Thames" w:hAnsi="XO Thames" w:eastAsia="NSimSun" w:cs="Lucida Sans"/>
      <w:b/>
      <w:color w:val="000000"/>
      <w:spacing w:val="0"/>
      <w:kern w:val="0"/>
      <w:sz w:val="22"/>
      <w:szCs w:val="20"/>
      <w:lang w:val="ru-RU" w:eastAsia="zh-CN" w:bidi="hi-IN"/>
    </w:rPr>
  </w:style>
  <w:style w:type="character" w:styleId="Contents2">
    <w:name w:val="Contents 2"/>
    <w:qFormat/>
    <w:rPr>
      <w:rFonts w:ascii="XO Thames" w:hAnsi="XO Thames"/>
      <w:sz w:val="28"/>
    </w:rPr>
  </w:style>
  <w:style w:type="character" w:styleId="ConsPlusTitlePage">
    <w:name w:val="ConsPlusTitlePage"/>
    <w:link w:val="ConsPlusTitlePage1"/>
    <w:qFormat/>
    <w:rPr>
      <w:rFonts w:ascii="Tahoma" w:hAnsi="Tahoma"/>
      <w:color w:val="000000"/>
      <w:sz w:val="20"/>
    </w:rPr>
  </w:style>
  <w:style w:type="character" w:styleId="Contents4">
    <w:name w:val="Contents 4"/>
    <w:qFormat/>
    <w:rPr>
      <w:rFonts w:ascii="XO Thames" w:hAnsi="XO Thames"/>
      <w:sz w:val="28"/>
    </w:rPr>
  </w:style>
  <w:style w:type="character" w:styleId="Contents6">
    <w:name w:val="Contents 6"/>
    <w:qFormat/>
    <w:rPr>
      <w:rFonts w:ascii="XO Thames" w:hAnsi="XO Thames"/>
      <w:sz w:val="28"/>
    </w:rPr>
  </w:style>
  <w:style w:type="character" w:styleId="Contents7">
    <w:name w:val="Contents 7"/>
    <w:qFormat/>
    <w:rPr>
      <w:rFonts w:ascii="XO Thames" w:hAnsi="XO Thames"/>
      <w:sz w:val="28"/>
    </w:rPr>
  </w:style>
  <w:style w:type="character" w:styleId="BalloonText">
    <w:name w:val="Balloon Text"/>
    <w:link w:val="BalloonText1"/>
    <w:qFormat/>
    <w:rPr>
      <w:rFonts w:ascii="Tahoma" w:hAnsi="Tahoma"/>
      <w:sz w:val="16"/>
    </w:rPr>
  </w:style>
  <w:style w:type="character" w:styleId="Style9">
    <w:name w:val="Верхний колонтитул Знак"/>
    <w:link w:val="Style29"/>
    <w:qFormat/>
    <w:rPr>
      <w:sz w:val="24"/>
    </w:rPr>
  </w:style>
  <w:style w:type="character" w:styleId="ConsPlusTitle">
    <w:name w:val="ConsPlusTitle"/>
    <w:link w:val="ConsPlusTitle1"/>
    <w:qFormat/>
    <w:rPr>
      <w:rFonts w:ascii="Calibri" w:hAnsi="Calibri"/>
      <w:b/>
      <w:color w:val="000000"/>
      <w:sz w:val="22"/>
    </w:rPr>
  </w:style>
  <w:style w:type="character" w:styleId="Endnote">
    <w:name w:val="Endnote"/>
    <w:link w:val="Endnote1"/>
    <w:qFormat/>
    <w:rPr>
      <w:rFonts w:ascii="XO Thames" w:hAnsi="XO Thames"/>
      <w:sz w:val="22"/>
    </w:rPr>
  </w:style>
  <w:style w:type="character" w:styleId="Heading3">
    <w:name w:val="Heading 3"/>
    <w:qFormat/>
    <w:rPr>
      <w:rFonts w:ascii="XO Thames" w:hAnsi="XO Thames"/>
      <w:b/>
      <w:sz w:val="26"/>
    </w:rPr>
  </w:style>
  <w:style w:type="character" w:styleId="Pagenumber">
    <w:name w:val="page number"/>
    <w:link w:val="Pagenumber1"/>
    <w:qFormat/>
    <w:rPr/>
  </w:style>
  <w:style w:type="character" w:styleId="11">
    <w:name w:val="Заголовок 1 Знак"/>
    <w:link w:val="12"/>
    <w:qFormat/>
    <w:rPr>
      <w:sz w:val="28"/>
    </w:rPr>
  </w:style>
  <w:style w:type="character" w:styleId="Style10">
    <w:name w:val="Колонтитул"/>
    <w:link w:val="Style30"/>
    <w:qFormat/>
    <w:rPr/>
  </w:style>
  <w:style w:type="character" w:styleId="Style11">
    <w:name w:val="Заголовок"/>
    <w:link w:val="Style24"/>
    <w:qFormat/>
    <w:rPr>
      <w:rFonts w:ascii="Liberation Sans" w:hAnsi="Liberation Sans"/>
      <w:sz w:val="28"/>
    </w:rPr>
  </w:style>
  <w:style w:type="character" w:styleId="ListParagraph">
    <w:name w:val="List Paragraph"/>
    <w:link w:val="ListParagraph1"/>
    <w:qFormat/>
    <w:rPr/>
  </w:style>
  <w:style w:type="character" w:styleId="ConsPlusNormal">
    <w:name w:val="ConsPlusNormal"/>
    <w:link w:val="ConsPlusNormal1"/>
    <w:qFormat/>
    <w:rPr>
      <w:rFonts w:ascii="Times New Roman" w:hAnsi="Times New Roman"/>
      <w:color w:val="000000"/>
      <w:sz w:val="28"/>
    </w:rPr>
  </w:style>
  <w:style w:type="character" w:styleId="Style12">
    <w:name w:val="Нижний колонтитул Знак"/>
    <w:link w:val="Style31"/>
    <w:qFormat/>
    <w:rPr>
      <w:sz w:val="24"/>
    </w:rPr>
  </w:style>
  <w:style w:type="character" w:styleId="Contents3">
    <w:name w:val="Contents 3"/>
    <w:qFormat/>
    <w:rPr>
      <w:rFonts w:ascii="XO Thames" w:hAnsi="XO Thames"/>
      <w:sz w:val="28"/>
    </w:rPr>
  </w:style>
  <w:style w:type="character" w:styleId="Caption">
    <w:name w:val="Caption"/>
    <w:qFormat/>
    <w:rPr>
      <w:sz w:val="28"/>
    </w:rPr>
  </w:style>
  <w:style w:type="character" w:styleId="Heading5">
    <w:name w:val="Heading 5"/>
    <w:qFormat/>
    <w:rPr>
      <w:rFonts w:ascii="XO Thames" w:hAnsi="XO Thames"/>
      <w:b/>
      <w:sz w:val="22"/>
    </w:rPr>
  </w:style>
  <w:style w:type="character" w:styleId="Textbodyindent">
    <w:name w:val="Text body indent"/>
    <w:qFormat/>
    <w:rPr/>
  </w:style>
  <w:style w:type="character" w:styleId="Style13">
    <w:name w:val="Основной текст с отступом Знак"/>
    <w:link w:val="Style33"/>
    <w:qFormat/>
    <w:rPr>
      <w:sz w:val="24"/>
    </w:rPr>
  </w:style>
  <w:style w:type="character" w:styleId="Heading1">
    <w:name w:val="Heading 1"/>
    <w:qFormat/>
    <w:rPr>
      <w:sz w:val="28"/>
    </w:rPr>
  </w:style>
  <w:style w:type="character" w:styleId="ConsPlusCell">
    <w:name w:val="ConsPlusCell"/>
    <w:link w:val="ConsPlusCell1"/>
    <w:qFormat/>
    <w:rPr>
      <w:rFonts w:ascii="Courier New" w:hAnsi="Courier New"/>
      <w:color w:val="000000"/>
      <w:sz w:val="20"/>
    </w:rPr>
  </w:style>
  <w:style w:type="character" w:styleId="BodyTextIndent2">
    <w:name w:val="Body Text Indent 2"/>
    <w:link w:val="BodyTextIndent21"/>
    <w:qFormat/>
    <w:rPr/>
  </w:style>
  <w:style w:type="character" w:styleId="-">
    <w:name w:val="Hyperlink"/>
    <w:rPr>
      <w:color w:val="0000FF"/>
      <w:u w:val="single"/>
    </w:rPr>
  </w:style>
  <w:style w:type="character" w:styleId="Footnote">
    <w:name w:val="Footnote"/>
    <w:link w:val="Footnote1"/>
    <w:qFormat/>
    <w:rPr>
      <w:rFonts w:ascii="XO Thames" w:hAnsi="XO Thames"/>
      <w:sz w:val="22"/>
    </w:rPr>
  </w:style>
  <w:style w:type="character" w:styleId="Contents1">
    <w:name w:val="Contents 1"/>
    <w:qFormat/>
    <w:rPr>
      <w:rFonts w:ascii="XO Thames" w:hAnsi="XO Thames"/>
      <w:b/>
      <w:sz w:val="28"/>
    </w:rPr>
  </w:style>
  <w:style w:type="character" w:styleId="HeaderandFooter">
    <w:name w:val="Header and Footer"/>
    <w:qFormat/>
    <w:rPr>
      <w:rFonts w:ascii="XO Thames" w:hAnsi="XO Thames"/>
      <w:sz w:val="20"/>
    </w:rPr>
  </w:style>
  <w:style w:type="character" w:styleId="ConsPlusDocList">
    <w:name w:val="ConsPlusDocList"/>
    <w:link w:val="ConsPlusDocList1"/>
    <w:qFormat/>
    <w:rPr>
      <w:rFonts w:ascii="Calibri" w:hAnsi="Calibri"/>
      <w:color w:val="000000"/>
      <w:sz w:val="22"/>
    </w:rPr>
  </w:style>
  <w:style w:type="character" w:styleId="List">
    <w:name w:val="List"/>
    <w:basedOn w:val="Textbody"/>
    <w:qFormat/>
    <w:rPr/>
  </w:style>
  <w:style w:type="character" w:styleId="Footer">
    <w:name w:val="Footer"/>
    <w:qFormat/>
    <w:rPr/>
  </w:style>
  <w:style w:type="character" w:styleId="Style14">
    <w:name w:val="FollowedHyperlink"/>
    <w:rPr>
      <w:color w:val="954F72"/>
      <w:u w:val="single"/>
    </w:rPr>
  </w:style>
  <w:style w:type="character" w:styleId="ConsPlusTextList">
    <w:name w:val="ConsPlusTextList"/>
    <w:link w:val="ConsPlusTextList1"/>
    <w:qFormat/>
    <w:rPr>
      <w:rFonts w:ascii="Arial" w:hAnsi="Arial"/>
      <w:color w:val="000000"/>
      <w:sz w:val="20"/>
    </w:rPr>
  </w:style>
  <w:style w:type="character" w:styleId="Contents9">
    <w:name w:val="Contents 9"/>
    <w:qFormat/>
    <w:rPr>
      <w:rFonts w:ascii="XO Thames" w:hAnsi="XO Thames"/>
      <w:sz w:val="28"/>
    </w:rPr>
  </w:style>
  <w:style w:type="character" w:styleId="Style15">
    <w:name w:val="Гипертекстовая ссылка"/>
    <w:link w:val="Style35"/>
    <w:qFormat/>
    <w:rPr>
      <w:b w:val="false"/>
      <w:color w:val="106BBE"/>
    </w:rPr>
  </w:style>
  <w:style w:type="character" w:styleId="Contents8">
    <w:name w:val="Contents 8"/>
    <w:qFormat/>
    <w:rPr>
      <w:rFonts w:ascii="XO Thames" w:hAnsi="XO Thames"/>
      <w:sz w:val="28"/>
    </w:rPr>
  </w:style>
  <w:style w:type="character" w:styleId="Style16">
    <w:name w:val="Содержимое врезки"/>
    <w:link w:val="Style36"/>
    <w:qFormat/>
    <w:rPr/>
  </w:style>
  <w:style w:type="character" w:styleId="Style17">
    <w:name w:val="Указатель"/>
    <w:link w:val="Style28"/>
    <w:qFormat/>
    <w:rPr/>
  </w:style>
  <w:style w:type="character" w:styleId="Contents5">
    <w:name w:val="Contents 5"/>
    <w:qFormat/>
    <w:rPr>
      <w:rFonts w:ascii="XO Thames" w:hAnsi="XO Thames"/>
      <w:sz w:val="28"/>
    </w:rPr>
  </w:style>
  <w:style w:type="character" w:styleId="Style18">
    <w:name w:val="Цветовое выделение"/>
    <w:link w:val="Style37"/>
    <w:qFormat/>
    <w:rPr>
      <w:b/>
      <w:color w:val="26282F"/>
    </w:rPr>
  </w:style>
  <w:style w:type="character" w:styleId="Header">
    <w:name w:val="Header"/>
    <w:qFormat/>
    <w:rPr/>
  </w:style>
  <w:style w:type="character" w:styleId="Style19">
    <w:name w:val="Основной текст Знак"/>
    <w:link w:val="Style39"/>
    <w:qFormat/>
    <w:rPr>
      <w:sz w:val="24"/>
    </w:rPr>
  </w:style>
  <w:style w:type="character" w:styleId="Style20">
    <w:name w:val="Заголовок статьи"/>
    <w:link w:val="Style40"/>
    <w:qFormat/>
    <w:rPr>
      <w:rFonts w:ascii="Arial" w:hAnsi="Arial"/>
    </w:rPr>
  </w:style>
  <w:style w:type="character" w:styleId="ConsPlusJurTerm">
    <w:name w:val="ConsPlusJurTerm"/>
    <w:link w:val="ConsPlusJurTerm1"/>
    <w:qFormat/>
    <w:rPr>
      <w:rFonts w:ascii="Tahoma" w:hAnsi="Tahoma"/>
      <w:color w:val="000000"/>
      <w:sz w:val="26"/>
    </w:rPr>
  </w:style>
  <w:style w:type="character" w:styleId="ConsPlusNonformat">
    <w:name w:val="ConsPlusNonformat"/>
    <w:link w:val="ConsPlusNonformat1"/>
    <w:qFormat/>
    <w:rPr>
      <w:rFonts w:ascii="Courier New" w:hAnsi="Courier New"/>
      <w:color w:val="000000"/>
      <w:sz w:val="20"/>
    </w:rPr>
  </w:style>
  <w:style w:type="character" w:styleId="Subtitle">
    <w:name w:val="Subtitle"/>
    <w:qFormat/>
    <w:rPr>
      <w:rFonts w:ascii="XO Thames" w:hAnsi="XO Thames"/>
      <w:i/>
      <w:sz w:val="24"/>
    </w:rPr>
  </w:style>
  <w:style w:type="character" w:styleId="Textbody">
    <w:name w:val="Text body"/>
    <w:qFormat/>
    <w:rPr/>
  </w:style>
  <w:style w:type="character" w:styleId="Title">
    <w:name w:val="Title"/>
    <w:qFormat/>
    <w:rPr>
      <w:rFonts w:ascii="XO Thames" w:hAnsi="XO Thames"/>
      <w:b/>
      <w:caps/>
      <w:sz w:val="40"/>
    </w:rPr>
  </w:style>
  <w:style w:type="character" w:styleId="Heading4">
    <w:name w:val="Heading 4"/>
    <w:qFormat/>
    <w:rPr>
      <w:rFonts w:ascii="XO Thames" w:hAnsi="XO Thames"/>
      <w:b/>
      <w:sz w:val="24"/>
    </w:rPr>
  </w:style>
  <w:style w:type="character" w:styleId="Style21">
    <w:name w:val="Знак"/>
    <w:link w:val="Style43"/>
    <w:qFormat/>
    <w:rPr>
      <w:rFonts w:ascii="Verdana" w:hAnsi="Verdana"/>
      <w:sz w:val="20"/>
    </w:rPr>
  </w:style>
  <w:style w:type="character" w:styleId="Heading2">
    <w:name w:val="Heading 2"/>
    <w:qFormat/>
    <w:rPr>
      <w:rFonts w:ascii="XO Thames" w:hAnsi="XO Thames"/>
      <w:b/>
      <w:sz w:val="28"/>
    </w:rPr>
  </w:style>
  <w:style w:type="character" w:styleId="DefaultParagraphFont">
    <w:name w:val="Default Paragraph Font"/>
    <w:link w:val="DefaultParagraphFont1"/>
    <w:qFormat/>
    <w:rPr/>
  </w:style>
  <w:style w:type="character" w:styleId="Style22">
    <w:name w:val="Текст выноски Знак"/>
    <w:qFormat/>
    <w:rPr>
      <w:rFonts w:ascii="Tahoma" w:hAnsi="Tahoma"/>
      <w:sz w:val="16"/>
      <w:szCs w:val="16"/>
      <w:lang w:val="x-none" w:eastAsia="x-none"/>
    </w:rPr>
  </w:style>
  <w:style w:type="character" w:styleId="21">
    <w:name w:val="Основной текст с отступом 2 Знак"/>
    <w:qFormat/>
    <w:rPr>
      <w:sz w:val="24"/>
      <w:szCs w:val="24"/>
    </w:rPr>
  </w:style>
  <w:style w:type="character" w:styleId="Style23">
    <w:name w:val="Название Знак"/>
    <w:qFormat/>
    <w:rPr>
      <w:sz w:val="28"/>
    </w:rPr>
  </w:style>
  <w:style w:type="paragraph" w:styleId="Style24">
    <w:name w:val="Заголовок"/>
    <w:basedOn w:val="Normal"/>
    <w:next w:val="Style25"/>
    <w:link w:val="Style11"/>
    <w:qFormat/>
    <w:pPr>
      <w:keepNext w:val="true"/>
      <w:spacing w:before="240" w:after="120"/>
    </w:pPr>
    <w:rPr>
      <w:rFonts w:ascii="Liberation Sans" w:hAnsi="Liberation Sans"/>
      <w:sz w:val="28"/>
    </w:rPr>
  </w:style>
  <w:style w:type="paragraph" w:styleId="Style25">
    <w:name w:val="Body Text"/>
    <w:basedOn w:val="Normal"/>
    <w:pPr>
      <w:spacing w:before="0" w:after="120"/>
    </w:pPr>
    <w:rPr/>
  </w:style>
  <w:style w:type="paragraph" w:styleId="Style26">
    <w:name w:val="List"/>
    <w:basedOn w:val="Style25"/>
    <w:pPr/>
    <w:rPr/>
  </w:style>
  <w:style w:type="paragraph" w:styleId="Style27">
    <w:name w:val="Caption"/>
    <w:basedOn w:val="Normal"/>
    <w:qFormat/>
    <w:pPr>
      <w:jc w:val="center"/>
    </w:pPr>
    <w:rPr>
      <w:sz w:val="28"/>
    </w:rPr>
  </w:style>
  <w:style w:type="paragraph" w:styleId="Style28">
    <w:name w:val="Указатель"/>
    <w:basedOn w:val="Normal"/>
    <w:link w:val="Style17"/>
    <w:qFormat/>
    <w:pPr/>
    <w:rPr/>
  </w:style>
  <w:style w:type="paragraph" w:styleId="22">
    <w:name w:val="TOC 2"/>
    <w:next w:val="Normal"/>
    <w:uiPriority w:val="39"/>
    <w:pPr>
      <w:widowControl/>
      <w:suppressAutoHyphens w:val="true"/>
      <w:bidi w:val="0"/>
      <w:spacing w:lineRule="auto" w:line="240" w:before="0" w:after="0"/>
      <w:ind w:left="200" w:right="0" w:hanging="0"/>
      <w:jc w:val="left"/>
    </w:pPr>
    <w:rPr>
      <w:rFonts w:ascii="XO Thames" w:hAnsi="XO Thames" w:eastAsia="NSimSun" w:cs="Lucida Sans"/>
      <w:color w:val="000000"/>
      <w:spacing w:val="0"/>
      <w:kern w:val="0"/>
      <w:sz w:val="28"/>
      <w:szCs w:val="20"/>
      <w:lang w:val="ru-RU" w:eastAsia="zh-CN" w:bidi="hi-IN"/>
    </w:rPr>
  </w:style>
  <w:style w:type="paragraph" w:styleId="ConsPlusTitlePage1">
    <w:name w:val="ConsPlusTitlePage"/>
    <w:link w:val="ConsPlusTitlePage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Tahoma" w:hAnsi="Tahoma" w:eastAsia="NSimSun" w:cs="Lucida Sans"/>
      <w:color w:val="000000"/>
      <w:spacing w:val="0"/>
      <w:kern w:val="0"/>
      <w:sz w:val="20"/>
      <w:szCs w:val="20"/>
      <w:lang w:val="ru-RU" w:eastAsia="zh-CN" w:bidi="hi-IN"/>
    </w:rPr>
  </w:style>
  <w:style w:type="paragraph" w:styleId="41">
    <w:name w:val="TOC 4"/>
    <w:next w:val="Normal"/>
    <w:uiPriority w:val="39"/>
    <w:pPr>
      <w:widowControl/>
      <w:suppressAutoHyphens w:val="true"/>
      <w:bidi w:val="0"/>
      <w:spacing w:lineRule="auto" w:line="240" w:before="0" w:after="0"/>
      <w:ind w:left="600" w:right="0" w:hanging="0"/>
      <w:jc w:val="left"/>
    </w:pPr>
    <w:rPr>
      <w:rFonts w:ascii="XO Thames" w:hAnsi="XO Thames" w:eastAsia="NSimSun" w:cs="Lucida Sans"/>
      <w:color w:val="000000"/>
      <w:spacing w:val="0"/>
      <w:kern w:val="0"/>
      <w:sz w:val="28"/>
      <w:szCs w:val="20"/>
      <w:lang w:val="ru-RU" w:eastAsia="zh-CN" w:bidi="hi-IN"/>
    </w:rPr>
  </w:style>
  <w:style w:type="paragraph" w:styleId="6">
    <w:name w:val="TOC 6"/>
    <w:next w:val="Normal"/>
    <w:uiPriority w:val="39"/>
    <w:pPr>
      <w:widowControl/>
      <w:suppressAutoHyphens w:val="true"/>
      <w:bidi w:val="0"/>
      <w:spacing w:lineRule="auto" w:line="240" w:before="0" w:after="0"/>
      <w:ind w:left="1000" w:right="0" w:hanging="0"/>
      <w:jc w:val="left"/>
    </w:pPr>
    <w:rPr>
      <w:rFonts w:ascii="XO Thames" w:hAnsi="XO Thames" w:eastAsia="NSimSun" w:cs="Lucida Sans"/>
      <w:color w:val="000000"/>
      <w:spacing w:val="0"/>
      <w:kern w:val="0"/>
      <w:sz w:val="28"/>
      <w:szCs w:val="20"/>
      <w:lang w:val="ru-RU" w:eastAsia="zh-CN" w:bidi="hi-IN"/>
    </w:rPr>
  </w:style>
  <w:style w:type="paragraph" w:styleId="7">
    <w:name w:val="TOC 7"/>
    <w:next w:val="Normal"/>
    <w:uiPriority w:val="39"/>
    <w:pPr>
      <w:widowControl/>
      <w:suppressAutoHyphens w:val="true"/>
      <w:bidi w:val="0"/>
      <w:spacing w:lineRule="auto" w:line="240" w:before="0" w:after="0"/>
      <w:ind w:left="1200" w:right="0" w:hanging="0"/>
      <w:jc w:val="left"/>
    </w:pPr>
    <w:rPr>
      <w:rFonts w:ascii="XO Thames" w:hAnsi="XO Thames" w:eastAsia="NSimSun" w:cs="Lucida Sans"/>
      <w:color w:val="000000"/>
      <w:spacing w:val="0"/>
      <w:kern w:val="0"/>
      <w:sz w:val="28"/>
      <w:szCs w:val="20"/>
      <w:lang w:val="ru-RU" w:eastAsia="zh-CN" w:bidi="hi-IN"/>
    </w:rPr>
  </w:style>
  <w:style w:type="paragraph" w:styleId="BalloonText1">
    <w:name w:val="Balloon Text"/>
    <w:basedOn w:val="Normal"/>
    <w:link w:val="BalloonText"/>
    <w:qFormat/>
    <w:pPr/>
    <w:rPr>
      <w:rFonts w:ascii="Tahoma" w:hAnsi="Tahoma"/>
      <w:sz w:val="16"/>
    </w:rPr>
  </w:style>
  <w:style w:type="paragraph" w:styleId="Style29">
    <w:name w:val="Верхний колонтитул Знак"/>
    <w:link w:val="Style9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NSimSun" w:cs="Lucida Sans"/>
      <w:color w:val="000000"/>
      <w:spacing w:val="0"/>
      <w:kern w:val="0"/>
      <w:sz w:val="24"/>
      <w:szCs w:val="20"/>
      <w:lang w:val="ru-RU" w:eastAsia="zh-CN" w:bidi="hi-IN"/>
    </w:rPr>
  </w:style>
  <w:style w:type="paragraph" w:styleId="ConsPlusTitle1">
    <w:name w:val="ConsPlusTitle"/>
    <w:link w:val="ConsPlusTitle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Lucida Sans"/>
      <w:b/>
      <w:color w:val="000000"/>
      <w:spacing w:val="0"/>
      <w:kern w:val="0"/>
      <w:sz w:val="22"/>
      <w:szCs w:val="20"/>
      <w:lang w:val="ru-RU" w:eastAsia="zh-CN" w:bidi="hi-IN"/>
    </w:rPr>
  </w:style>
  <w:style w:type="paragraph" w:styleId="Endnote1">
    <w:name w:val="Endnote"/>
    <w:link w:val="Endnote"/>
    <w:qFormat/>
    <w:pPr>
      <w:widowControl/>
      <w:suppressAutoHyphens w:val="true"/>
      <w:bidi w:val="0"/>
      <w:spacing w:lineRule="auto" w:line="240" w:before="0" w:after="0"/>
      <w:ind w:left="0" w:right="0" w:firstLine="851"/>
      <w:jc w:val="both"/>
    </w:pPr>
    <w:rPr>
      <w:rFonts w:ascii="XO Thames" w:hAnsi="XO Thames" w:eastAsia="NSimSun" w:cs="Lucida Sans"/>
      <w:color w:val="000000"/>
      <w:spacing w:val="0"/>
      <w:kern w:val="0"/>
      <w:sz w:val="22"/>
      <w:szCs w:val="20"/>
      <w:lang w:val="ru-RU" w:eastAsia="zh-CN" w:bidi="hi-IN"/>
    </w:rPr>
  </w:style>
  <w:style w:type="paragraph" w:styleId="Pagenumber1">
    <w:name w:val="page number"/>
    <w:link w:val="Pagenumber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NSimSun" w:cs="Lucida Sans"/>
      <w:color w:val="000000"/>
      <w:spacing w:val="0"/>
      <w:kern w:val="0"/>
      <w:sz w:val="20"/>
      <w:szCs w:val="20"/>
      <w:lang w:val="ru-RU" w:eastAsia="zh-CN" w:bidi="hi-IN"/>
    </w:rPr>
  </w:style>
  <w:style w:type="paragraph" w:styleId="12">
    <w:name w:val="Заголовок 1 Знак"/>
    <w:link w:val="11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NSimSun" w:cs="Lucida Sans"/>
      <w:color w:val="000000"/>
      <w:spacing w:val="0"/>
      <w:kern w:val="0"/>
      <w:sz w:val="28"/>
      <w:szCs w:val="20"/>
      <w:lang w:val="ru-RU" w:eastAsia="zh-CN" w:bidi="hi-IN"/>
    </w:rPr>
  </w:style>
  <w:style w:type="paragraph" w:styleId="Style30">
    <w:name w:val="Колонтитул"/>
    <w:link w:val="Style10"/>
    <w:qFormat/>
    <w:pPr>
      <w:widowControl/>
      <w:suppressAutoHyphens w:val="true"/>
      <w:bidi w:val="0"/>
      <w:spacing w:lineRule="auto" w:line="240" w:before="0" w:after="0"/>
      <w:ind w:left="0" w:right="0" w:hanging="0"/>
      <w:jc w:val="both"/>
    </w:pPr>
    <w:rPr>
      <w:rFonts w:ascii="XO Thames" w:hAnsi="XO Thames" w:eastAsia="NSimSun" w:cs="Lucida Sans"/>
      <w:color w:val="000000"/>
      <w:spacing w:val="0"/>
      <w:kern w:val="0"/>
      <w:sz w:val="20"/>
      <w:szCs w:val="20"/>
      <w:lang w:val="ru-RU" w:eastAsia="zh-CN" w:bidi="hi-IN"/>
    </w:rPr>
  </w:style>
  <w:style w:type="paragraph" w:styleId="ListParagraph1">
    <w:name w:val="List Paragraph"/>
    <w:basedOn w:val="Normal"/>
    <w:link w:val="ListParagraph"/>
    <w:qFormat/>
    <w:pPr>
      <w:spacing w:before="0" w:after="0"/>
      <w:ind w:left="720" w:right="0" w:hanging="0"/>
      <w:contextualSpacing/>
    </w:pPr>
    <w:rPr/>
  </w:style>
  <w:style w:type="paragraph" w:styleId="ConsPlusNormal1">
    <w:name w:val="ConsPlusNormal"/>
    <w:link w:val="ConsPlusNormal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NSimSun" w:cs="Lucida Sans"/>
      <w:color w:val="000000"/>
      <w:spacing w:val="0"/>
      <w:kern w:val="0"/>
      <w:sz w:val="28"/>
      <w:szCs w:val="20"/>
      <w:lang w:val="ru-RU" w:eastAsia="zh-CN" w:bidi="hi-IN"/>
    </w:rPr>
  </w:style>
  <w:style w:type="paragraph" w:styleId="Style31">
    <w:name w:val="Нижний колонтитул Знак"/>
    <w:link w:val="Style12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NSimSun" w:cs="Lucida Sans"/>
      <w:color w:val="000000"/>
      <w:spacing w:val="0"/>
      <w:kern w:val="0"/>
      <w:sz w:val="24"/>
      <w:szCs w:val="20"/>
      <w:lang w:val="ru-RU" w:eastAsia="zh-CN" w:bidi="hi-IN"/>
    </w:rPr>
  </w:style>
  <w:style w:type="paragraph" w:styleId="31">
    <w:name w:val="TOC 3"/>
    <w:next w:val="Normal"/>
    <w:uiPriority w:val="39"/>
    <w:pPr>
      <w:widowControl/>
      <w:suppressAutoHyphens w:val="true"/>
      <w:bidi w:val="0"/>
      <w:spacing w:lineRule="auto" w:line="240" w:before="0" w:after="0"/>
      <w:ind w:left="400" w:right="0" w:hanging="0"/>
      <w:jc w:val="left"/>
    </w:pPr>
    <w:rPr>
      <w:rFonts w:ascii="XO Thames" w:hAnsi="XO Thames" w:eastAsia="NSimSun" w:cs="Lucida Sans"/>
      <w:color w:val="000000"/>
      <w:spacing w:val="0"/>
      <w:kern w:val="0"/>
      <w:sz w:val="28"/>
      <w:szCs w:val="20"/>
      <w:lang w:val="ru-RU" w:eastAsia="zh-CN" w:bidi="hi-IN"/>
    </w:rPr>
  </w:style>
  <w:style w:type="paragraph" w:styleId="Style32">
    <w:name w:val="Body Text Indent"/>
    <w:basedOn w:val="Normal"/>
    <w:pPr>
      <w:spacing w:before="0" w:after="120"/>
      <w:ind w:left="283" w:right="0" w:hanging="0"/>
    </w:pPr>
    <w:rPr/>
  </w:style>
  <w:style w:type="paragraph" w:styleId="Style33">
    <w:name w:val="Основной текст с отступом Знак"/>
    <w:link w:val="Style13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NSimSun" w:cs="Lucida Sans"/>
      <w:color w:val="000000"/>
      <w:spacing w:val="0"/>
      <w:kern w:val="0"/>
      <w:sz w:val="24"/>
      <w:szCs w:val="20"/>
      <w:lang w:val="ru-RU" w:eastAsia="zh-CN" w:bidi="hi-IN"/>
    </w:rPr>
  </w:style>
  <w:style w:type="paragraph" w:styleId="ConsPlusCell1">
    <w:name w:val="ConsPlusCell"/>
    <w:link w:val="ConsPlusCell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Courier New" w:hAnsi="Courier New" w:eastAsia="NSimSun" w:cs="Lucida Sans"/>
      <w:color w:val="000000"/>
      <w:spacing w:val="0"/>
      <w:kern w:val="0"/>
      <w:sz w:val="20"/>
      <w:szCs w:val="20"/>
      <w:lang w:val="ru-RU" w:eastAsia="zh-CN" w:bidi="hi-IN"/>
    </w:rPr>
  </w:style>
  <w:style w:type="paragraph" w:styleId="BodyTextIndent21">
    <w:name w:val="Body Text Indent 2"/>
    <w:basedOn w:val="Normal"/>
    <w:link w:val="BodyTextIndent2"/>
    <w:qFormat/>
    <w:pPr>
      <w:ind w:left="-720" w:right="0" w:hanging="0"/>
    </w:pPr>
    <w:rPr/>
  </w:style>
  <w:style w:type="paragraph" w:styleId="Internetlink">
    <w:name w:val="Internet link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NSimSun" w:cs="Lucida Sans"/>
      <w:color w:val="0000FF"/>
      <w:spacing w:val="0"/>
      <w:kern w:val="0"/>
      <w:sz w:val="20"/>
      <w:szCs w:val="20"/>
      <w:u w:val="single"/>
      <w:lang w:val="ru-RU" w:eastAsia="zh-CN" w:bidi="hi-IN"/>
    </w:rPr>
  </w:style>
  <w:style w:type="paragraph" w:styleId="Footnote1">
    <w:name w:val="Footnote"/>
    <w:link w:val="Footnote"/>
    <w:qFormat/>
    <w:pPr>
      <w:widowControl/>
      <w:suppressAutoHyphens w:val="true"/>
      <w:bidi w:val="0"/>
      <w:spacing w:lineRule="auto" w:line="240" w:before="0" w:after="0"/>
      <w:ind w:left="0" w:right="0" w:firstLine="851"/>
      <w:jc w:val="both"/>
    </w:pPr>
    <w:rPr>
      <w:rFonts w:ascii="XO Thames" w:hAnsi="XO Thames" w:eastAsia="NSimSun" w:cs="Lucida Sans"/>
      <w:color w:val="000000"/>
      <w:spacing w:val="0"/>
      <w:kern w:val="0"/>
      <w:sz w:val="22"/>
      <w:szCs w:val="20"/>
      <w:lang w:val="ru-RU" w:eastAsia="zh-CN" w:bidi="hi-IN"/>
    </w:rPr>
  </w:style>
  <w:style w:type="paragraph" w:styleId="13">
    <w:name w:val="TOC 1"/>
    <w:next w:val="Normal"/>
    <w:uiPriority w:val="39"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XO Thames" w:hAnsi="XO Thames" w:eastAsia="NSimSun" w:cs="Lucida Sans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ConsPlusDocList1">
    <w:name w:val="ConsPlusDocList"/>
    <w:link w:val="ConsPlusDocList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Lucida Sans"/>
      <w:color w:val="000000"/>
      <w:spacing w:val="0"/>
      <w:kern w:val="0"/>
      <w:sz w:val="22"/>
      <w:szCs w:val="20"/>
      <w:lang w:val="ru-RU" w:eastAsia="zh-CN" w:bidi="hi-IN"/>
    </w:rPr>
  </w:style>
  <w:style w:type="paragraph" w:styleId="Style34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VisitedInternetLink">
    <w:name w:val="Visited Internet Link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NSimSun" w:cs="Lucida Sans"/>
      <w:color w:val="954F72"/>
      <w:spacing w:val="0"/>
      <w:kern w:val="0"/>
      <w:sz w:val="20"/>
      <w:szCs w:val="20"/>
      <w:u w:val="single"/>
      <w:lang w:val="ru-RU" w:eastAsia="zh-CN" w:bidi="hi-IN"/>
    </w:rPr>
  </w:style>
  <w:style w:type="paragraph" w:styleId="ConsPlusTextList1">
    <w:name w:val="ConsPlusTextList"/>
    <w:link w:val="ConsPlusTextList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Arial" w:hAnsi="Arial" w:eastAsia="NSimSun" w:cs="Lucida Sans"/>
      <w:color w:val="000000"/>
      <w:spacing w:val="0"/>
      <w:kern w:val="0"/>
      <w:sz w:val="20"/>
      <w:szCs w:val="20"/>
      <w:lang w:val="ru-RU" w:eastAsia="zh-CN" w:bidi="hi-IN"/>
    </w:rPr>
  </w:style>
  <w:style w:type="paragraph" w:styleId="9">
    <w:name w:val="TOC 9"/>
    <w:next w:val="Normal"/>
    <w:uiPriority w:val="39"/>
    <w:pPr>
      <w:widowControl/>
      <w:suppressAutoHyphens w:val="true"/>
      <w:bidi w:val="0"/>
      <w:spacing w:lineRule="auto" w:line="240" w:before="0" w:after="0"/>
      <w:ind w:left="1600" w:right="0" w:hanging="0"/>
      <w:jc w:val="left"/>
    </w:pPr>
    <w:rPr>
      <w:rFonts w:ascii="XO Thames" w:hAnsi="XO Thames" w:eastAsia="NSimSun" w:cs="Lucida Sans"/>
      <w:color w:val="000000"/>
      <w:spacing w:val="0"/>
      <w:kern w:val="0"/>
      <w:sz w:val="28"/>
      <w:szCs w:val="20"/>
      <w:lang w:val="ru-RU" w:eastAsia="zh-CN" w:bidi="hi-IN"/>
    </w:rPr>
  </w:style>
  <w:style w:type="paragraph" w:styleId="Style35">
    <w:name w:val="Гипертекстовая ссылка"/>
    <w:link w:val="Style15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NSimSun" w:cs="Lucida Sans"/>
      <w:b w:val="false"/>
      <w:color w:val="106BBE"/>
      <w:spacing w:val="0"/>
      <w:kern w:val="0"/>
      <w:sz w:val="20"/>
      <w:szCs w:val="20"/>
      <w:lang w:val="ru-RU" w:eastAsia="zh-CN" w:bidi="hi-IN"/>
    </w:rPr>
  </w:style>
  <w:style w:type="paragraph" w:styleId="8">
    <w:name w:val="TOC 8"/>
    <w:next w:val="Normal"/>
    <w:uiPriority w:val="39"/>
    <w:pPr>
      <w:widowControl/>
      <w:suppressAutoHyphens w:val="true"/>
      <w:bidi w:val="0"/>
      <w:spacing w:lineRule="auto" w:line="240" w:before="0" w:after="0"/>
      <w:ind w:left="1400" w:right="0" w:hanging="0"/>
      <w:jc w:val="left"/>
    </w:pPr>
    <w:rPr>
      <w:rFonts w:ascii="XO Thames" w:hAnsi="XO Thames" w:eastAsia="NSimSun" w:cs="Lucida Sans"/>
      <w:color w:val="000000"/>
      <w:spacing w:val="0"/>
      <w:kern w:val="0"/>
      <w:sz w:val="28"/>
      <w:szCs w:val="20"/>
      <w:lang w:val="ru-RU" w:eastAsia="zh-CN" w:bidi="hi-IN"/>
    </w:rPr>
  </w:style>
  <w:style w:type="paragraph" w:styleId="Style36">
    <w:name w:val="Содержимое врезки"/>
    <w:basedOn w:val="Normal"/>
    <w:link w:val="Style16"/>
    <w:qFormat/>
    <w:pPr/>
    <w:rPr/>
  </w:style>
  <w:style w:type="paragraph" w:styleId="51">
    <w:name w:val="TOC 5"/>
    <w:next w:val="Normal"/>
    <w:uiPriority w:val="39"/>
    <w:pPr>
      <w:widowControl/>
      <w:suppressAutoHyphens w:val="true"/>
      <w:bidi w:val="0"/>
      <w:spacing w:lineRule="auto" w:line="240" w:before="0" w:after="0"/>
      <w:ind w:left="800" w:right="0" w:hanging="0"/>
      <w:jc w:val="left"/>
    </w:pPr>
    <w:rPr>
      <w:rFonts w:ascii="XO Thames" w:hAnsi="XO Thames" w:eastAsia="NSimSun" w:cs="Lucida Sans"/>
      <w:color w:val="000000"/>
      <w:spacing w:val="0"/>
      <w:kern w:val="0"/>
      <w:sz w:val="28"/>
      <w:szCs w:val="20"/>
      <w:lang w:val="ru-RU" w:eastAsia="zh-CN" w:bidi="hi-IN"/>
    </w:rPr>
  </w:style>
  <w:style w:type="paragraph" w:styleId="Style37">
    <w:name w:val="Цветовое выделение"/>
    <w:link w:val="Style18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NSimSun" w:cs="Lucida Sans"/>
      <w:b/>
      <w:color w:val="26282F"/>
      <w:spacing w:val="0"/>
      <w:kern w:val="0"/>
      <w:sz w:val="20"/>
      <w:szCs w:val="20"/>
      <w:lang w:val="ru-RU" w:eastAsia="zh-CN" w:bidi="hi-IN"/>
    </w:rPr>
  </w:style>
  <w:style w:type="paragraph" w:styleId="Style38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9">
    <w:name w:val="Основной текст Знак"/>
    <w:link w:val="Style19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NSimSun" w:cs="Lucida Sans"/>
      <w:color w:val="000000"/>
      <w:spacing w:val="0"/>
      <w:kern w:val="0"/>
      <w:sz w:val="24"/>
      <w:szCs w:val="20"/>
      <w:lang w:val="ru-RU" w:eastAsia="zh-CN" w:bidi="hi-IN"/>
    </w:rPr>
  </w:style>
  <w:style w:type="paragraph" w:styleId="Style40">
    <w:name w:val="Заголовок статьи"/>
    <w:basedOn w:val="Normal"/>
    <w:next w:val="Normal"/>
    <w:link w:val="Style20"/>
    <w:qFormat/>
    <w:pPr>
      <w:ind w:left="1612" w:right="0" w:hanging="892"/>
      <w:jc w:val="both"/>
    </w:pPr>
    <w:rPr>
      <w:rFonts w:ascii="Arial" w:hAnsi="Arial"/>
    </w:rPr>
  </w:style>
  <w:style w:type="paragraph" w:styleId="ConsPlusJurTerm1">
    <w:name w:val="ConsPlusJurTerm"/>
    <w:link w:val="ConsPlusJurTerm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Tahoma" w:hAnsi="Tahoma" w:eastAsia="NSimSun" w:cs="Lucida Sans"/>
      <w:color w:val="000000"/>
      <w:spacing w:val="0"/>
      <w:kern w:val="0"/>
      <w:sz w:val="26"/>
      <w:szCs w:val="20"/>
      <w:lang w:val="ru-RU" w:eastAsia="zh-CN" w:bidi="hi-IN"/>
    </w:rPr>
  </w:style>
  <w:style w:type="paragraph" w:styleId="ConsPlusNonformat1">
    <w:name w:val="ConsPlusNonformat"/>
    <w:link w:val="ConsPlusNonformat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Courier New" w:hAnsi="Courier New" w:eastAsia="NSimSun" w:cs="Lucida Sans"/>
      <w:color w:val="000000"/>
      <w:spacing w:val="0"/>
      <w:kern w:val="0"/>
      <w:sz w:val="20"/>
      <w:szCs w:val="20"/>
      <w:lang w:val="ru-RU" w:eastAsia="zh-CN" w:bidi="hi-IN"/>
    </w:rPr>
  </w:style>
  <w:style w:type="paragraph" w:styleId="Style41">
    <w:name w:val="Subtitle"/>
    <w:next w:val="Normal"/>
    <w:uiPriority w:val="11"/>
    <w:qFormat/>
    <w:pPr>
      <w:widowControl/>
      <w:suppressAutoHyphens w:val="true"/>
      <w:bidi w:val="0"/>
      <w:spacing w:lineRule="auto" w:line="240" w:before="0" w:after="0"/>
      <w:ind w:left="0" w:right="0" w:hanging="0"/>
      <w:jc w:val="both"/>
    </w:pPr>
    <w:rPr>
      <w:rFonts w:ascii="XO Thames" w:hAnsi="XO Thames" w:eastAsia="NSimSun" w:cs="Lucida Sans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Style42">
    <w:name w:val="Title"/>
    <w:next w:val="Normal"/>
    <w:uiPriority w:val="10"/>
    <w:qFormat/>
    <w:pPr>
      <w:widowControl/>
      <w:suppressAutoHyphens w:val="true"/>
      <w:bidi w:val="0"/>
      <w:spacing w:lineRule="auto" w:line="240" w:before="567" w:after="567"/>
      <w:ind w:left="0" w:right="0" w:hanging="0"/>
      <w:jc w:val="center"/>
    </w:pPr>
    <w:rPr>
      <w:rFonts w:ascii="XO Thames" w:hAnsi="XO Thames" w:eastAsia="NSimSun" w:cs="Lucida Sans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Style43">
    <w:name w:val="Знак"/>
    <w:basedOn w:val="Normal"/>
    <w:link w:val="Style21"/>
    <w:qFormat/>
    <w:pPr>
      <w:spacing w:lineRule="exact" w:line="240" w:before="0" w:after="160"/>
    </w:pPr>
    <w:rPr>
      <w:rFonts w:ascii="Verdana" w:hAnsi="Verdana"/>
      <w:sz w:val="20"/>
    </w:rPr>
  </w:style>
  <w:style w:type="paragraph" w:styleId="DefaultParagraphFont1">
    <w:name w:val="Default Paragraph Font"/>
    <w:link w:val="DefaultParagraphFont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NSimSun" w:cs="Lucida Sans"/>
      <w:color w:val="000000"/>
      <w:spacing w:val="0"/>
      <w:kern w:val="0"/>
      <w:sz w:val="20"/>
      <w:szCs w:val="20"/>
      <w:lang w:val="ru-RU" w:eastAsia="zh-CN" w:bidi="hi-IN"/>
    </w:rPr>
  </w:style>
  <w:style w:type="table" w:default="1" w:styleId="Style_55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Style_56">
    <w:name w:val="Table Grid"/>
    <w:basedOn w:val="Style_55"/>
    <w:tblPr>
      <w:tblBorders>
        <w:top w:val="single" w:color="000000" w:sz="4"/>
        <w:left w:val="single" w:color="000000" w:sz="4"/>
        <w:bottom w:val="single" w:color="000000" w:sz="4"/>
        <w:right w:val="single" w:color="000000" w:sz="4"/>
        <w:insideH w:val="single" w:color="000000" w:sz="4"/>
        <w:insideV w:val="single" w:color="000000" w:sz="4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LibreOffice/7.5.3.2$Windows_X86_64 LibreOffice_project/9f56dff12ba03b9acd7730a5a481eea045e468f3</Application>
  <AppVersion>15.0000</AppVersion>
  <Pages>6</Pages>
  <Words>1269</Words>
  <Characters>10222</Characters>
  <CharactersWithSpaces>11504</CharactersWithSpaces>
  <Paragraphs>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2023-11-01T17:09:08Z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